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267B3081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 nr ref. </w:t>
      </w:r>
      <w:r w:rsidR="000233A2" w:rsidRPr="000233A2">
        <w:rPr>
          <w:rFonts w:ascii="Arial" w:hAnsi="Arial" w:cs="Arial"/>
          <w:b/>
          <w:sz w:val="20"/>
          <w:szCs w:val="20"/>
        </w:rPr>
        <w:t>PIM/10/24/ZP47/2024-392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754CFA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1F2FF191" w14:textId="77777777" w:rsidR="003D5CB6" w:rsidRPr="007D3CB3" w:rsidRDefault="003D5CB6" w:rsidP="003D5CB6">
      <w:pPr>
        <w:pStyle w:val="Bezodstpw"/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5677147"/>
      <w:r>
        <w:rPr>
          <w:rFonts w:ascii="Arial" w:hAnsi="Arial" w:cs="Arial"/>
          <w:b/>
          <w:bCs/>
          <w:sz w:val="20"/>
          <w:szCs w:val="20"/>
        </w:rPr>
        <w:t>„W</w:t>
      </w:r>
      <w:r w:rsidRPr="00960F3A">
        <w:rPr>
          <w:rFonts w:ascii="Arial" w:hAnsi="Arial" w:cs="Arial"/>
          <w:b/>
          <w:bCs/>
          <w:sz w:val="20"/>
          <w:szCs w:val="20"/>
        </w:rPr>
        <w:t>ykonanie prac projektowych dla zadania pt. "Budowa ulicy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60F3A">
        <w:rPr>
          <w:rFonts w:ascii="Arial" w:hAnsi="Arial" w:cs="Arial"/>
          <w:b/>
          <w:bCs/>
          <w:sz w:val="20"/>
          <w:szCs w:val="20"/>
        </w:rPr>
        <w:t>Sempołowskiej, Kotarbińskiego i Buczka na potrzeby dwóch budynków mieszkalnych 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60F3A">
        <w:rPr>
          <w:rFonts w:ascii="Arial" w:hAnsi="Arial" w:cs="Arial"/>
          <w:b/>
          <w:bCs/>
          <w:sz w:val="20"/>
          <w:szCs w:val="20"/>
        </w:rPr>
        <w:t>nieruchomości nr 23/7 ark. 32 obręb Dębiec"</w:t>
      </w:r>
      <w:r w:rsidRPr="00980D18">
        <w:rPr>
          <w:rFonts w:ascii="Arial" w:hAnsi="Arial" w:cs="Arial"/>
          <w:b/>
          <w:bCs/>
          <w:sz w:val="20"/>
          <w:szCs w:val="20"/>
        </w:rPr>
        <w:t>”</w:t>
      </w:r>
    </w:p>
    <w:bookmarkEnd w:id="0"/>
    <w:p w14:paraId="592519D2" w14:textId="77777777" w:rsidR="0064553F" w:rsidRPr="00754CFA" w:rsidRDefault="0064553F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273AE4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4E8978F4" w14:textId="77777777" w:rsidR="00273AE4" w:rsidRDefault="00273AE4" w:rsidP="00645253">
      <w:pPr>
        <w:pStyle w:val="Nagwek2"/>
        <w:spacing w:line="312" w:lineRule="auto"/>
        <w:rPr>
          <w:sz w:val="22"/>
          <w:szCs w:val="22"/>
        </w:rPr>
      </w:pPr>
    </w:p>
    <w:p w14:paraId="734FB0B9" w14:textId="7384F3CA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3A2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3AE4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5CB6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D28A4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C7C06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D58CC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2158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667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25</cp:revision>
  <cp:lastPrinted>2020-10-14T07:26:00Z</cp:lastPrinted>
  <dcterms:created xsi:type="dcterms:W3CDTF">2021-02-04T10:40:00Z</dcterms:created>
  <dcterms:modified xsi:type="dcterms:W3CDTF">2024-10-28T12:35:00Z</dcterms:modified>
</cp:coreProperties>
</file>